
<file path=[Content_Types].xml><?xml version="1.0" encoding="utf-8"?>
<Types xmlns="http://schemas.openxmlformats.org/package/2006/content-types">
  <Default Extension="jpeg" ContentType="image/jpe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color w:val="auto"/>
          <w:position w:val="0"/>
          <w:sz w:val="36"/>
          <w:szCs w:val="36"/>
          <w:rFonts w:ascii="맑은 고딕" w:eastAsia="맑은 고딕" w:hAnsi="맑은 고딕" w:hint="default"/>
        </w:rPr>
        <w:wordWrap w:val="off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                          </w:t>
      </w:r>
      <w:r>
        <w:rPr>
          <w:color w:val="auto"/>
          <w:position w:val="0"/>
          <w:sz w:val="36"/>
          <w:szCs w:val="36"/>
          <w:rFonts w:ascii="맑은 고딕" w:eastAsia="맑은 고딕" w:hAnsi="맑은 고딕" w:hint="default"/>
        </w:rPr>
        <w:t xml:space="preserve">일본 자위대의 문제점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wordWrap w:val="off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                                                                   21714811 박 성빈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color w:val="auto"/>
          <w:position w:val="0"/>
          <w:sz w:val="24"/>
          <w:szCs w:val="24"/>
          <w:rFonts w:ascii="돋움" w:eastAsia="돋움" w:hAnsi="돋움" w:hint="default"/>
        </w:rPr>
        <w:wordWrap w:val="off"/>
      </w:pP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 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일본 군사에 대하여 과제를 준비하는 과정에서 나는 현재 일본의 자위대가 가지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고 있는 문제점에 대하여 조사를 하기로 했다. 군대에서 일어나는 병역부조리 행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위와 자위대의 무기의 결함을 주로 조사하여서 이를 정리하기로 했다.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color w:val="auto"/>
          <w:position w:val="0"/>
          <w:sz w:val="24"/>
          <w:szCs w:val="24"/>
          <w:rFonts w:ascii="돋움" w:eastAsia="돋움" w:hAnsi="돋움" w:hint="default"/>
        </w:rPr>
        <w:wordWrap w:val="off"/>
      </w:pP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 일본 자위대에서 일어나는 병역부조리는 과거 전국시대 때부터 내려온 병폐인 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구타와 부조리가 구 일본군을 거쳐 현 자위대까지 그대로 전승되어 왔다. 일본군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은 단기간에 병사들의 충성심을 고양하고 통제한다는 명목을 내세워 구타를 묵인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했다. 일본군 창설 당시, 각 군은 번주(藩主)에 충성하는 체제에서 국왕(덴노)에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게 충성하는 체제로 만들기 위해, 애초부터 있지도 않은 권위를 세우기 위해</w:t>
      </w:r>
      <w:r>
        <w:rPr>
          <w:color w:val="auto"/>
          <w:position w:val="0"/>
          <w:sz w:val="24"/>
          <w:szCs w:val="24"/>
          <w:u w:val="none"/>
          <w:rFonts w:ascii="돋움" w:eastAsia="돋움" w:hAnsi="돋움" w:hint="default"/>
        </w:rPr>
        <w:t xml:space="preserve"> 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>구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타를 묵인했다. 실제로 이러한 구타에 정당성을 부여해준 것 중 하나가  </w:t>
      </w:r>
      <w:r>
        <w:rPr>
          <w:color w:val="auto"/>
          <w:position w:val="0"/>
          <w:sz w:val="24"/>
          <w:szCs w:val="24"/>
          <w:u w:val="none"/>
          <w:rFonts w:ascii="돋움" w:eastAsia="돋움" w:hAnsi="돋움" w:hint="default"/>
        </w:rPr>
        <w:t>메이지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가 내린 상관의 명령=덴노의 명령으로 규정한 군인칙유 때문에 구타가 묵인될 수 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>있었다.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color w:val="auto"/>
          <w:position w:val="0"/>
          <w:sz w:val="24"/>
          <w:szCs w:val="24"/>
          <w:rFonts w:ascii="돋움" w:eastAsia="돋움" w:hAnsi="돋움" w:hint="default"/>
        </w:rPr>
        <w:wordWrap w:val="off"/>
      </w:pP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 문제는 자위대는 모병제로 운영하고 있다는 점이다. 모병제는 자신의 의지로 군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대에 입대하는 케이스로서 이 경우 병사에 대한 대우는 올라갈 것이다. 하지만 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그럼에도 불구하고, 자위대에서는 타 부대에 비해 심각한 가혹행위가 계속해서 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나타나고 있다. 심지어 자위대에 지원한 사람은 정신적으로 이상이 있다는 얘기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에 다들 공감하고 있는 상황이다. 가혹행위에 해당하는 사건은 일반적인 집단폭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력은 물론이고, 엉덩이에 다림질을 하거나 항문에 콤프레샤를 사용해 파열이 일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어나는 등 생각지도 못할 행동이 나타나고 있다. 실제 자위대 창설 이래 순직한 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인원은 약 1800명으로 지금껏 전쟁,전투가 일어나지 않은 현상황을 보면, 자살, 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사고로 인한 죽음이다.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color w:val="auto"/>
          <w:position w:val="0"/>
          <w:sz w:val="24"/>
          <w:szCs w:val="24"/>
          <w:rFonts w:ascii="돋움" w:eastAsia="돋움" w:hAnsi="돋움" w:hint="default"/>
        </w:rPr>
        <w:wordWrap w:val="off"/>
      </w:pP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 또 한가지를 집어보면 이러한 사고가 빈번하게 일어나고 있음에도 불구하고 처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벌이 솜방망이 수준으로 매우 가볍다. 고막파열, 갈비뼈 골절, 척추 손상 등의 상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해를 입힌 병사에게 내려진 처벌은 각각 4일, 9일, 16일 정직이다. 자위대는 공무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원 취급이니 정직은 월급 더 못받고 집에서 쉬는 것 밖에 안되는 수준이다. 이를 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처벌로 내리니 사태의 심각성을 모르고 병역부조리는 늘어날 수 밖에 없다. 또는 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일본 국민은 자위대 내에서 일어나는 일은 일부 밀덕(밀리터리 덕후) 말고는 관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심이 없기 때문에 현재까지 알려진 사건 말고도 수많은 사건이 묵살되거나, 잊혀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져 있다.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color w:val="auto"/>
          <w:position w:val="0"/>
          <w:sz w:val="24"/>
          <w:szCs w:val="24"/>
          <w:rFonts w:ascii="돋움" w:eastAsia="돋움" w:hAnsi="돋움" w:hint="default"/>
        </w:rPr>
        <w:wordWrap w:val="off"/>
      </w:pP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 이러한 폭행, 이지매, 묵살등의 행위로 인해 자살률도 높게 나타나고 있다. 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2004년 부터 10년 까지 6년 동안 자살인구가 100명 아래로 내려간 적이 없었다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고 한다. 민간인 자살률보다 1.5배 높다고 하니 심각성이 매우 짙다.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color w:val="auto"/>
          <w:position w:val="0"/>
          <w:sz w:val="24"/>
          <w:szCs w:val="24"/>
          <w:rFonts w:ascii="돋움" w:eastAsia="돋움" w:hAnsi="돋움" w:hint="default"/>
        </w:rPr>
        <w:wordWrap w:val="off"/>
      </w:pP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color w:val="auto"/>
          <w:position w:val="0"/>
          <w:sz w:val="24"/>
          <w:szCs w:val="24"/>
          <w:rFonts w:ascii="돋움" w:eastAsia="돋움" w:hAnsi="돋움" w:hint="default"/>
        </w:rPr>
        <w:wordWrap w:val="off"/>
      </w:pP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 일본 자위대에 관하여 문제점을 또 하나 꼽자면, 바로 무기를 들 수 있겠다. 일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본 자위대의 무기는 타국에 비해 문제점이 두드러지게 나타난다. 일단 결론부터 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들자면 ‘가성비가 매우 구리다’ 라고 할 수 있겠다. 이는 무슨말인가 하면, 무기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를 제작하는데에 드는 비용에 비해 성능이 매우 안좋기 때문이다.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color w:val="auto"/>
          <w:position w:val="0"/>
          <w:sz w:val="24"/>
          <w:szCs w:val="24"/>
          <w:rFonts w:ascii="돋움" w:eastAsia="돋움" w:hAnsi="돋움" w:hint="default"/>
        </w:rPr>
        <w:wordWrap w:val="off"/>
      </w:pP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 무기 제작에 드는 비용이 매우 높은 이유는 먼저 평화협정이 있겠다. 과거 2차 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대전을 일으킨 전범국인 일본은 평화협정에 의해 군대를 둘 수 없었다. 그러나 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나라를 방위할 수 있도록 자위대를 만들었는데, 이는 통상적인 ‘군대’라고 할 수 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없기에 무기에 관한 제약이 붙은 것이다. 더불어 평화헌법으로 인해 무기를 비축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할 수 없기 때문에 특정 무기를 자위대 인구에 맞게 끔 찍어둘 수 밖에 없다. 즉 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비축해 뒀다가 타국으로 판매를 할 수 없기 때문에 비싼 것이다.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color w:val="auto"/>
          <w:position w:val="0"/>
          <w:sz w:val="24"/>
          <w:szCs w:val="24"/>
          <w:rFonts w:ascii="돋움" w:eastAsia="돋움" w:hAnsi="돋움" w:hint="default"/>
        </w:rPr>
        <w:wordWrap w:val="off"/>
      </w:pP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 또다른 이유로는 정경유착이 크게 적용되기 때문이다. 일본의 사기업에서 무기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를 생산하면 돈벌이가 되지 않는다. 평화헌법에 의해 무기수출이 금지되어 있기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에 기껏해야 자위대에게만 팔 수 있는데다 민간인의 총기 소지가 금지되어 민간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인에게 팔 수도 없기 때문이다.. 그래서 기업에서는 장기적인 안정적인 수입원이 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될 수 없는 무기생산/개수에 크게 관심을 갖지 않는다. 그렇다보니 기존의 무기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에 결함이 있어도 회사 입장에서 돈 들여서 개선품을 생산할 이유는 없는 것이다. 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그럼에도 저렴한 외국산을 국내 기업을 통해 저렴하게 도입하는 것도 없이 소량 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발주라도 무조건 생산라인 깔아서 라이센스(국산 선호)를 고집하다 보니 기업 입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장에선 막대한 투자금까지 필요하게 되니 한탕주의+투자금 회수 명목까지 더해져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서 비용폭탄이 발생하면서도 무기 자체의 개량여부도 담보되지 못하는 현상이 반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>복된다.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color w:val="auto"/>
          <w:position w:val="0"/>
          <w:sz w:val="24"/>
          <w:szCs w:val="24"/>
          <w:rFonts w:ascii="돋움" w:eastAsia="돋움" w:hAnsi="돋움" w:hint="default"/>
        </w:rPr>
        <w:wordWrap w:val="off"/>
      </w:pP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 이를 떠나서 무기 자체의 결함을 살펴보자면 우선 64식 소총이 있겠다.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color w:val="auto"/>
          <w:position w:val="0"/>
          <w:sz w:val="24"/>
          <w:szCs w:val="24"/>
          <w:rFonts w:ascii="돋움" w:eastAsia="돋움" w:hAnsi="돋움" w:hint="default"/>
        </w:rPr>
        <w:wordWrap w:val="off"/>
      </w:pPr>
      <w:r>
        <w:rPr>
          <w:sz w:val="20"/>
        </w:rPr>
        <w:drawing>
          <wp:inline distT="0" distB="0" distL="0" distR="0">
            <wp:extent cx="5731510" cy="3226435"/>
            <wp:effectExtent l="0" t="0" r="0" b="0"/>
            <wp:docPr id="1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/Users/tranq/AppData/Roaming/PolarisOffice/ETemp/8320_47059592/fImage104481114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7070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color w:val="auto"/>
          <w:position w:val="0"/>
          <w:sz w:val="24"/>
          <w:szCs w:val="24"/>
          <w:rFonts w:ascii="돋움" w:eastAsia="돋움" w:hAnsi="돋움" w:hint="default"/>
        </w:rPr>
        <w:wordWrap w:val="off"/>
      </w:pP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 실제로 이 총은 사격 중 부품 탈락 비율이 매우 높아서 그걸 방지하기 위하여 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항상 탈락 가능성이 높은 부분에 테이프를 붙이는데, 위가 그 사진이다. 위와 같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은 기본 부품이 50개일 정도로 많은 총에서도 부품 탈락이 빈번하게 일어나서 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정비가 힘들다. 자체 성능도 그다지 좋진 못하는데, 내구성이 매우 떨어지기 때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문에 자동사격에 적합하지 않은 자동소총 되시겠다. 그런 주제에 전용탄을 사용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하는데, 이게 가격상승의 요인임에도 불구하고, 기존의 7.62mm 탄에서 장약을 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10% 뺀 약장탄이라는 것이 문제이다. 위의 총하나로 일본의 무기의 고질적인 문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제점인 가성비, 성능의 문제를 잘 보여준다.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color w:val="auto"/>
          <w:position w:val="0"/>
          <w:sz w:val="24"/>
          <w:szCs w:val="24"/>
          <w:rFonts w:ascii="돋움" w:eastAsia="돋움" w:hAnsi="돋움" w:hint="default"/>
        </w:rPr>
        <w:wordWrap w:val="off"/>
      </w:pP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 무기 뿐만 아니라 전차또한 결함이 있는데, 설계 미스가 빈번하게 일어난다.</w:t>
      </w:r>
      <w:r>
        <w:rPr>
          <w:sz w:val="20"/>
        </w:rPr>
        <w:drawing>
          <wp:inline distT="0" distB="0" distL="0" distR="0">
            <wp:extent cx="2816225" cy="1944370"/>
            <wp:effectExtent l="0" t="0" r="0" b="0"/>
            <wp:docPr id="13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/Users/tranq/AppData/Roaming/PolarisOffice/ETemp/8320_47059592/fImage18195113846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860" cy="1945005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  <w:r>
        <w:rPr>
          <w:sz w:val="20"/>
        </w:rPr>
        <w:drawing>
          <wp:inline distT="0" distB="0" distL="0" distR="0">
            <wp:extent cx="2838450" cy="1933575"/>
            <wp:effectExtent l="0" t="0" r="0" b="0"/>
            <wp:docPr id="14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/Users/tranq/AppData/Roaming/PolarisOffice/ETemp/8320_47059592/fImage6040314633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085" cy="1934210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color w:val="auto"/>
          <w:position w:val="0"/>
          <w:sz w:val="24"/>
          <w:szCs w:val="24"/>
          <w:rFonts w:ascii="돋움" w:eastAsia="돋움" w:hAnsi="돋움" w:hint="default"/>
        </w:rPr>
        <w:wordWrap w:val="off"/>
      </w:pP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(좌- 60식 장갑차, 우- 82식 지휘통신차)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color w:val="auto"/>
          <w:position w:val="0"/>
          <w:sz w:val="24"/>
          <w:szCs w:val="24"/>
          <w:rFonts w:ascii="돋움" w:eastAsia="돋움" w:hAnsi="돋움" w:hint="default"/>
        </w:rPr>
        <w:wordWrap w:val="off"/>
      </w:pP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좌측의 장갑차는 차체가 1.7m로 매우 낮고, 전장도 짧기 때문에 많은 인원을 탑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승시킬 수 없고, 항속거리가 매우 낮아 적을 치고 빠져나가야 하는 상황에서 쓸 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수 없는 수준이다.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color w:val="auto"/>
          <w:position w:val="0"/>
          <w:sz w:val="24"/>
          <w:szCs w:val="24"/>
          <w:rFonts w:ascii="돋움" w:eastAsia="돋움" w:hAnsi="돋움" w:hint="default"/>
        </w:rPr>
        <w:wordWrap w:val="off"/>
      </w:pP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우측의 지휘통신차는 바퀴 세축이 너무 붙어있어 조종성과 주행안정성이 떨어지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고 승차감도 매우 않좋다. 자위대에서는 야전용으로 만들었다고 하지만은 캐터필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러가 아닌 자동차 바퀴형 장갑차인데다가 한랭지</w:t>
      </w:r>
      <w:r>
        <w:rPr>
          <w:color w:val="auto"/>
          <w:position w:val="0"/>
          <w:sz w:val="20"/>
          <w:szCs w:val="20"/>
          <w:rFonts w:ascii="맑은 고딕" w:eastAsia="맑은 고딕" w:hAnsi="맑은 고딕" w:hint="default"/>
        </w:rPr>
        <w:t xml:space="preserve"> 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주행용 </w:t>
      </w:r>
      <w:r>
        <w:rPr>
          <w:color w:val="auto"/>
          <w:position w:val="0"/>
          <w:sz w:val="24"/>
          <w:szCs w:val="24"/>
          <w:u w:val="none"/>
          <w:rFonts w:ascii="돋움" w:eastAsia="돋움" w:hAnsi="돋움" w:hint="default"/>
        </w:rPr>
        <w:t>타이어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가 없어 눈길에서 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퍼지기 쉽고 정비성도 매우 나빠 일단 퍼졌다 하면 야전정비는 불가능하기 때문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에 도저히 야전용으로 쓸 수 없다.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color w:val="auto"/>
          <w:position w:val="0"/>
          <w:sz w:val="24"/>
          <w:szCs w:val="24"/>
          <w:rFonts w:ascii="돋움" w:eastAsia="돋움" w:hAnsi="돋움" w:hint="default"/>
        </w:rPr>
        <w:wordWrap w:val="off"/>
      </w:pP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 이외에도 성능이 안좋은 무기와 전차가 다수 존재한다. 문제는 이러한 원인이 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기술력 자체의 문제는 아니라는 것이다. 일본의 무기 기술력은 무기 수출을 제한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하는 가이드라인에서 유일한 예외인 미국의 무기제작 기술 제공 요소가 있기 때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문에, 기술력 자체는 크게 문제가 되지 않는다. 이와 같은 원인은 앞서 위에서 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말한 평화협정과 정경유착이 있다. 물론 무기제작 경험 부족도 한몫할 수 있겠지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만, 이 경험부족 또한 정경유착의 영향이 끼쳐있다.</w:t>
      </w:r>
    </w:p>
    <w:p>
      <w:pPr>
        <w:numPr>
          <w:ilvl w:val="0"/>
          <w:numId w:val="0"/>
        </w:numPr>
        <w:jc w:val="both"/>
        <w:spacing w:lineRule="auto" w:line="259" w:before="0" w:after="160"/>
        <w:ind w:left="0" w:hanging="0"/>
        <w:rPr>
          <w:color w:val="auto"/>
          <w:position w:val="0"/>
          <w:sz w:val="24"/>
          <w:szCs w:val="24"/>
          <w:rFonts w:ascii="돋움" w:eastAsia="돋움" w:hAnsi="돋움" w:hint="default"/>
        </w:rPr>
        <w:wordWrap w:val="off"/>
      </w:pP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 바라는 것은 아니지만 이러한 일본의 무기 문제를 고치려면 과거 2차 전쟁으로 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인한 전범국인 일본한테서 평화협정이 떨어지긴 무리이고, 일본 내의 정치인과 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기업가들 간의 정경유착 요소를 없애서 일본정부가 무기사업을 주관하는 것이 좋</w:t>
      </w:r>
      <w:r>
        <w:rPr>
          <w:color w:val="auto"/>
          <w:position w:val="0"/>
          <w:sz w:val="24"/>
          <w:szCs w:val="24"/>
          <w:rFonts w:ascii="돋움" w:eastAsia="돋움" w:hAnsi="돋움" w:hint="default"/>
        </w:rPr>
        <w:t xml:space="preserve">다고 본다</w:t>
      </w:r>
    </w:p>
    <w:sectPr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돋움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</w:pPr>
    </w:pPrDefault>
    <w:rPrDefault>
      <w:rPr>
        <w:shd w:val="clear"/>
        <w:sz w:val="20"/>
        <w:szCs w:val="20"/>
        <w:w w:val="100"/>
      </w:rPr>
    </w:rPrDefault>
  </w:docDefaults>
  <w:style w:default="1" w:styleId="PO1" w:type="paragraph">
    <w:name w:val="Normal"/>
    <w:link w:val="PO-1"/>
    <w:qFormat/>
    <w:uiPriority w:val="1"/>
    <w:pPr>
      <w:jc w:val="both"/>
    </w:pPr>
    <w:rPr>
      <w:shd w:val="clear"/>
      <w:sz w:val="20"/>
      <w:szCs w:val="20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0"/>
      <w:szCs w:val="20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0"/>
      <w:szCs w:val="20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0"/>
      <w:szCs w:val="20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0"/>
      <w:szCs w:val="20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0"/>
      <w:szCs w:val="20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0"/>
      <w:szCs w:val="20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0"/>
      <w:szCs w:val="20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0"/>
      <w:szCs w:val="20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0"/>
      <w:szCs w:val="20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0"/>
      <w:szCs w:val="20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0"/>
      <w:szCs w:val="20"/>
      <w:w w:val="100"/>
    </w:rPr>
  </w:style>
  <w:style w:styleId="PO18" w:type="character">
    <w:name w:val="Emphasis"/>
    <w:qFormat/>
    <w:uiPriority w:val="18"/>
    <w:rPr>
      <w:i/>
      <w:shd w:val="clear"/>
      <w:sz w:val="20"/>
      <w:szCs w:val="20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0"/>
      <w:szCs w:val="20"/>
      <w:w w:val="100"/>
    </w:rPr>
  </w:style>
  <w:style w:styleId="PO20" w:type="character">
    <w:name w:val="Strong"/>
    <w:qFormat/>
    <w:uiPriority w:val="20"/>
    <w:rPr>
      <w:b/>
      <w:shd w:val="clear"/>
      <w:sz w:val="20"/>
      <w:szCs w:val="20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0"/>
      <w:szCs w:val="20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0"/>
      <w:szCs w:val="20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0"/>
      <w:szCs w:val="20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0"/>
      <w:szCs w:val="20"/>
      <w:w w:val="100"/>
    </w:rPr>
  </w:style>
  <w:style w:styleId="PO25" w:type="character">
    <w:name w:val="Book Title"/>
    <w:qFormat/>
    <w:uiPriority w:val="25"/>
    <w:rPr>
      <w:i/>
      <w:b/>
      <w:shd w:val="clear"/>
      <w:sz w:val="20"/>
      <w:szCs w:val="20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0"/>
      <w:szCs w:val="20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0"/>
      <w:szCs w:val="20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0"/>
      <w:szCs w:val="20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0"/>
      <w:szCs w:val="20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0"/>
      <w:szCs w:val="20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0"/>
      <w:szCs w:val="20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0"/>
      <w:szCs w:val="20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0"/>
      <w:szCs w:val="20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0"/>
      <w:szCs w:val="20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0"/>
      <w:szCs w:val="20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fImage1044811141.jpeg"></Relationship><Relationship Id="rId6" Type="http://schemas.openxmlformats.org/officeDocument/2006/relationships/image" Target="media/fImage181951138467.jpeg"></Relationship><Relationship Id="rId7" Type="http://schemas.openxmlformats.org/officeDocument/2006/relationships/image" Target="media/fImage60403146334.jpeg"></Relationship><Relationship Id="rId8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3</Pages>
  <Paragraphs>0</Paragraphs>
  <Words>764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Mr. 트랜퀼라이저</dc:creator>
  <cp:lastModifiedBy/>
</cp:coreProperties>
</file>